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widowControl/>
        <w:jc w:val="center"/>
        <w:rPr>
          <w:rFonts w:ascii="Times New Roman" w:hAnsi="Times New Roman" w:eastAsia="方正小标宋简体"/>
          <w:bCs/>
          <w:sz w:val="22"/>
          <w:szCs w:val="44"/>
        </w:rPr>
      </w:pPr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储备铜公开竞价销售规则</w:t>
      </w:r>
    </w:p>
    <w:p>
      <w:pPr>
        <w:pStyle w:val="2"/>
        <w:adjustRightInd w:val="0"/>
        <w:snapToGrid w:val="0"/>
        <w:spacing w:line="580" w:lineRule="exact"/>
        <w:ind w:left="0" w:firstLine="0" w:firstLineChars="0"/>
        <w:jc w:val="left"/>
        <w:rPr>
          <w:rFonts w:ascii="Times New Roman" w:eastAsia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</w:rPr>
        <w:t>第一条 竞价销售活动遵守国家有关法律法规，遵循公开、公平、公正、诚实信用的原则。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baseline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第二条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竞价报价为储备仓库含税库房交货价，不含装运费用。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第三条 以</w:t>
      </w:r>
      <w:r>
        <w:rPr>
          <w:rFonts w:ascii="Times New Roman" w:hAnsi="Times New Roman" w:eastAsia="仿宋_GB2312" w:cs="Times New Roman"/>
          <w:sz w:val="32"/>
          <w:szCs w:val="32"/>
        </w:rPr>
        <w:t>100吨左右为一个标段。平台将于竞价当日9时同时开始两个标段的竞价（同时竞价的两个标段为不同储备仓库），每标段竞价结束30秒后，自动开始下一标段竞价。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采取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自动</w:t>
      </w:r>
      <w:r>
        <w:rPr>
          <w:rFonts w:ascii="Times New Roman" w:hAnsi="Times New Roman" w:eastAsia="仿宋_GB2312" w:cs="Times New Roman"/>
          <w:sz w:val="32"/>
          <w:szCs w:val="32"/>
        </w:rPr>
        <w:t>延时竞价。每标段竞价时间为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30秒，</w:t>
      </w:r>
      <w:r>
        <w:rPr>
          <w:rFonts w:ascii="Times New Roman" w:hAnsi="Times New Roman" w:eastAsia="仿宋_GB2312" w:cs="Times New Roman"/>
          <w:sz w:val="32"/>
          <w:szCs w:val="32"/>
        </w:rPr>
        <w:t>如有新的报价，则从报价时起延长至30秒，进入新一轮竞价，直至无新的报价，倒计时时间归0时，竞价结束。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起拍底价</w:t>
      </w:r>
      <w:r>
        <w:rPr>
          <w:rFonts w:ascii="Times New Roman" w:hAnsi="Times New Roman" w:eastAsia="仿宋_GB2312" w:cs="Times New Roman"/>
          <w:sz w:val="32"/>
          <w:szCs w:val="32"/>
        </w:rPr>
        <w:t>和最高成交价。每标段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起拍底价</w:t>
      </w:r>
      <w:r>
        <w:rPr>
          <w:rFonts w:ascii="Times New Roman" w:hAnsi="Times New Roman" w:eastAsia="仿宋_GB2312" w:cs="Times New Roman"/>
          <w:sz w:val="32"/>
          <w:szCs w:val="32"/>
        </w:rPr>
        <w:t>和最高成交价于竞价开始后公布，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起拍底价已综合考虑货物的品质和储存年限等因素，</w:t>
      </w:r>
      <w:r>
        <w:rPr>
          <w:rFonts w:ascii="Times New Roman" w:hAnsi="Times New Roman" w:eastAsia="仿宋_GB2312" w:cs="Times New Roman"/>
          <w:sz w:val="32"/>
          <w:szCs w:val="32"/>
        </w:rPr>
        <w:t>竞买人须以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起拍底价</w:t>
      </w:r>
      <w:r>
        <w:rPr>
          <w:rFonts w:ascii="Times New Roman" w:hAnsi="Times New Roman" w:eastAsia="仿宋_GB2312" w:cs="Times New Roman"/>
          <w:sz w:val="32"/>
          <w:szCs w:val="32"/>
        </w:rPr>
        <w:t>为起始价加价竞价。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报价时可填报加价幅度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也可输入报价价格。每次报价最小加价幅度为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50</w:t>
      </w:r>
      <w:r>
        <w:rPr>
          <w:rFonts w:ascii="Times New Roman" w:hAnsi="Times New Roman" w:eastAsia="仿宋_GB2312" w:cs="Times New Roman"/>
          <w:sz w:val="32"/>
          <w:szCs w:val="32"/>
        </w:rPr>
        <w:t>元/吨，单次加价须为最小加价幅度的整数倍（不得为0）。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最高价成交原则。在竞价时间内，最高报价未达到最高成交价的，以最高报价为成交价格；最高报价达到或超过最高成交价的，由首位报出该价格的竞买人即时成交，成交价格为最高成交价。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第八条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各标段竞价结束前，同一竞买人可连续报价。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竞价期间，竞价平台实时显示当前最高报价，并记录竞买人所有报价过程。平台不显示竞买人名称。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竞价平台自动拒接不符合规则的报价。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第十一条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单一竞买人最多成交标段数量上限为1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个，后续标段缴纳的保证金随标段竞价结束依次释放。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第十二条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保证金规则。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1.保证金充值。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竞买人通过</w:t>
      </w:r>
      <w:r>
        <w:rPr>
          <w:rFonts w:ascii="Times New Roman" w:hAnsi="Times New Roman" w:eastAsia="仿宋_GB2312" w:cs="Times New Roman"/>
          <w:sz w:val="32"/>
          <w:szCs w:val="32"/>
        </w:rPr>
        <w:t>国家物资储备调节中心（以下简称“调节中心”）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资格审核后，即可按竞价平台规定路径向保证金账户充值。建议提前充值足额保证金，用于支付拟参与竞价的标段保证金。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2.保证金支付。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标段竞价开始前，竞买人须支付该标段保证金方才具备该标段竞价资格，保证金按350元/吨收取。竞价开始后，该标段不再接受保证金支付，竞买人未能支付足额保证金的，不能参与该标段的竞价。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3.保证金释放。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若竞买人该标段未成交，平台自动释放该标段保证金。调节中心确认买受人支付货款后释放成交标段保证金。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每标段竞价前，支付保证金的竞买人数量不足3家的，该标段作废。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第十三条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买受人应当遵循诚实守信原则，履行合同签订和付款等相关义务。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第十四条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买受人应在竞价结束、调节中心上传销售合同后的2个工作日内完成合同线上签章工作，并于调节中心完成合同线上签章工作后的5个工作日内向合同约定的付款账户支付全额货款。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第十五条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买受人签署多个销售合同的，可合并支付合同货款，并在付款后将加盖公章的《付款明细》（附件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2-1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fldChar w:fldCharType="begin"/>
      </w:r>
      <w:r>
        <w:instrText xml:space="preserve"> HYPERLINK "mailto:以电子邮件发送至lsjcwc2@lswz.gov.cn" </w:instrText>
      </w:r>
      <w:r>
        <w:fldChar w:fldCharType="separate"/>
      </w:r>
      <w:r>
        <w:rPr>
          <w:rStyle w:val="9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以电子邮件发送至lsjcwc2@lswz.gov.cn</w:t>
      </w:r>
      <w:r>
        <w:rPr>
          <w:rStyle w:val="9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第十六条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除不可抗力原因，买受人不得放弃履约。因不可抗力原因确需放弃的，应在不可抗力事由发生后5个工作日内，持事由凭证向调节中心提交书面说明。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第十七条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采取到库提货制，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储备仓库将货物运至车板（限储备仓库库区内），费用标准46元/吨，由买受人支付至储备仓库指定账户，发票由储备仓库出具。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第十八条 买受人在完成提货后的5个工作日内，向调节中心提供《物资出库核算单》原件和加盖公章的《开票申请表》（附件2-2）。国家粮食和物资储备局收到上述资料10个工作日内开具发票。电子版《开票申请表》请发送至lsjcwc2@lswz.gov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九</w:t>
      </w:r>
      <w:r>
        <w:rPr>
          <w:rFonts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竞买人/买受人在交易过程中出现下列违规行为之一的，将被取消本次及后续销售批次交易资格、缴纳的保证金不予退还、并将失信情况按程序提供国家企业信用信息公示系统等。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1.填报虚假资料；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2.出现故意串通等影响竞价公平公正行为的；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3.成交后违背诚实信用原则不与调节中心签订合同的；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4.未按规定时间支付足额货款的。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二十</w:t>
      </w:r>
      <w:r>
        <w:rPr>
          <w:rFonts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因不可预见的原因导致竞价平台无法正常运作的，调节中心有权中止交易或临时决定采用其它竞价方式和竞价规则。</w:t>
      </w:r>
    </w:p>
    <w:bookmarkEnd w:id="0"/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国家物资储备调节中心</w:t>
      </w:r>
    </w:p>
    <w:p>
      <w:pPr>
        <w:wordWrap w:val="0"/>
        <w:spacing w:line="580" w:lineRule="exact"/>
        <w:ind w:right="166"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2021年7月2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spacing w:line="580" w:lineRule="exact"/>
        <w:ind w:right="166" w:firstLine="420" w:firstLineChars="200"/>
        <w:jc w:val="right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2098" w:right="1531" w:bottom="1531" w:left="1531" w:header="851" w:footer="992" w:gutter="0"/>
          <w:pgNumType w:fmt="numberInDash"/>
          <w:cols w:space="425" w:num="1"/>
          <w:docGrid w:type="linesAndChars" w:linePitch="312" w:charSpace="0"/>
        </w:sectPr>
      </w:pPr>
    </w:p>
    <w:tbl>
      <w:tblPr>
        <w:tblStyle w:val="7"/>
        <w:tblpPr w:leftFromText="180" w:rightFromText="180" w:horzAnchor="margin" w:tblpXSpec="center" w:tblpY="434"/>
        <w:tblW w:w="151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38"/>
        <w:gridCol w:w="1638"/>
        <w:gridCol w:w="1638"/>
        <w:gridCol w:w="1638"/>
        <w:gridCol w:w="1638"/>
        <w:gridCol w:w="2037"/>
        <w:gridCol w:w="1638"/>
        <w:gridCol w:w="2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付款明细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单位：元、吨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企业全称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合同数量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合同单价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合同总金额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打款日期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打款总金额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x月x日</w:t>
            </w:r>
          </w:p>
        </w:tc>
        <w:tc>
          <w:tcPr>
            <w:tcW w:w="2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x月x日</w:t>
            </w: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x月x日</w:t>
            </w: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公司（加盖公章）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2021年x月x日</w:t>
            </w:r>
          </w:p>
        </w:tc>
      </w:tr>
    </w:tbl>
    <w:p>
      <w:pPr>
        <w:spacing w:line="580" w:lineRule="exact"/>
        <w:ind w:right="166" w:firstLine="480" w:firstLineChars="200"/>
        <w:jc w:val="left"/>
        <w:rPr>
          <w:rFonts w:ascii="Times New Roman" w:hAnsi="Times New Roman"/>
        </w:rPr>
        <w:sectPr>
          <w:pgSz w:w="16838" w:h="11906" w:orient="landscape"/>
          <w:pgMar w:top="2098" w:right="1531" w:bottom="1531" w:left="1531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ascii="方正小标宋简体" w:hAnsi="宋体" w:eastAsia="方正小标宋简体" w:cs="宋体"/>
          <w:kern w:val="0"/>
          <w:sz w:val="24"/>
          <w:szCs w:val="24"/>
        </w:rPr>
        <w:pict>
          <v:shape id="_x0000_s1027" o:spid="_x0000_s1027" o:spt="202" type="#_x0000_t202" style="position:absolute;left:0pt;margin-left:-33.85pt;margin-top:3.1pt;height:70.35pt;width:76.45pt;z-index:251659264;mso-width-relative:margin;mso-height-relative:margin;mso-height-percent:200;" stroked="t" coordsize="21600,21600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rFonts w:ascii="黑体" w:hAns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附件2-1</w:t>
                  </w:r>
                </w:p>
              </w:txbxContent>
            </v:textbox>
          </v:shape>
        </w:pict>
      </w:r>
    </w:p>
    <w:tbl>
      <w:tblPr>
        <w:tblStyle w:val="7"/>
        <w:tblW w:w="15397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16"/>
        <w:gridCol w:w="1261"/>
        <w:gridCol w:w="1502"/>
        <w:gridCol w:w="1192"/>
        <w:gridCol w:w="1417"/>
        <w:gridCol w:w="836"/>
        <w:gridCol w:w="1149"/>
        <w:gridCol w:w="1149"/>
        <w:gridCol w:w="903"/>
        <w:gridCol w:w="924"/>
        <w:gridCol w:w="1105"/>
        <w:gridCol w:w="1163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附件2-2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开票申请表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单位：元、吨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合同号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地址、电话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开户行及账号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品种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入库规格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合同数量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合同金额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出库结算数量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出库结算金额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33" w:firstLineChars="12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备注：按照出库结算数量、出库结算金额开具发票。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left="-1274" w:leftChars="-607" w:firstLine="57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邮寄信息</w:t>
      </w:r>
    </w:p>
    <w:p>
      <w:pPr>
        <w:widowControl/>
        <w:ind w:left="-1274" w:leftChars="-607" w:firstLine="57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收件地址：                   收件联系人：          联系电话：</w:t>
      </w:r>
    </w:p>
    <w:p>
      <w:pPr>
        <w:widowControl/>
        <w:ind w:left="-1274" w:leftChars="-607" w:firstLine="57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                                                                      全称（公章）：    </w:t>
      </w:r>
    </w:p>
    <w:p>
      <w:pPr>
        <w:widowControl/>
        <w:ind w:left="-1274" w:leftChars="-607" w:firstLine="570"/>
        <w:jc w:val="left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                                                                          填制日期：</w:t>
      </w:r>
    </w:p>
    <w:sectPr>
      <w:footerReference r:id="rId4" w:type="default"/>
      <w:pgSz w:w="16839" w:h="11907" w:orient="landscape"/>
      <w:pgMar w:top="1134" w:right="1531" w:bottom="1531" w:left="209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914425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8"/>
        <w:szCs w:val="28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E1B"/>
    <w:rsid w:val="00005C32"/>
    <w:rsid w:val="000154AC"/>
    <w:rsid w:val="00027D54"/>
    <w:rsid w:val="00027F57"/>
    <w:rsid w:val="00067961"/>
    <w:rsid w:val="000819CE"/>
    <w:rsid w:val="00093604"/>
    <w:rsid w:val="000C54B8"/>
    <w:rsid w:val="000D194A"/>
    <w:rsid w:val="000E484B"/>
    <w:rsid w:val="0013206B"/>
    <w:rsid w:val="001B4B34"/>
    <w:rsid w:val="001C192E"/>
    <w:rsid w:val="001E503B"/>
    <w:rsid w:val="001F4C12"/>
    <w:rsid w:val="00203FC6"/>
    <w:rsid w:val="0023151E"/>
    <w:rsid w:val="00264921"/>
    <w:rsid w:val="002667C6"/>
    <w:rsid w:val="00287A2A"/>
    <w:rsid w:val="002B49C2"/>
    <w:rsid w:val="002B72A5"/>
    <w:rsid w:val="002C17A0"/>
    <w:rsid w:val="00311625"/>
    <w:rsid w:val="0038064E"/>
    <w:rsid w:val="003971DC"/>
    <w:rsid w:val="00436041"/>
    <w:rsid w:val="00443D73"/>
    <w:rsid w:val="0048679B"/>
    <w:rsid w:val="0049755B"/>
    <w:rsid w:val="004B74F7"/>
    <w:rsid w:val="004F1DB8"/>
    <w:rsid w:val="00550EDD"/>
    <w:rsid w:val="005567EB"/>
    <w:rsid w:val="00574FC1"/>
    <w:rsid w:val="00590D6D"/>
    <w:rsid w:val="005A6E3B"/>
    <w:rsid w:val="006112D4"/>
    <w:rsid w:val="00625BA3"/>
    <w:rsid w:val="00661276"/>
    <w:rsid w:val="0066204B"/>
    <w:rsid w:val="006C6B1F"/>
    <w:rsid w:val="006F72E8"/>
    <w:rsid w:val="007169BC"/>
    <w:rsid w:val="00734680"/>
    <w:rsid w:val="0074512C"/>
    <w:rsid w:val="00752551"/>
    <w:rsid w:val="0075535D"/>
    <w:rsid w:val="00756596"/>
    <w:rsid w:val="00766864"/>
    <w:rsid w:val="00770E3E"/>
    <w:rsid w:val="0077232F"/>
    <w:rsid w:val="00774607"/>
    <w:rsid w:val="00787E1B"/>
    <w:rsid w:val="00794EDD"/>
    <w:rsid w:val="007B50DB"/>
    <w:rsid w:val="0088485D"/>
    <w:rsid w:val="008E4980"/>
    <w:rsid w:val="008F32FC"/>
    <w:rsid w:val="008F4E69"/>
    <w:rsid w:val="0092759D"/>
    <w:rsid w:val="00941FC1"/>
    <w:rsid w:val="009636CA"/>
    <w:rsid w:val="00991F93"/>
    <w:rsid w:val="009C692B"/>
    <w:rsid w:val="00A02E4E"/>
    <w:rsid w:val="00AC66B2"/>
    <w:rsid w:val="00B22FBC"/>
    <w:rsid w:val="00B42DFB"/>
    <w:rsid w:val="00B53921"/>
    <w:rsid w:val="00BC397A"/>
    <w:rsid w:val="00C53119"/>
    <w:rsid w:val="00C838A8"/>
    <w:rsid w:val="00C922A7"/>
    <w:rsid w:val="00CB086F"/>
    <w:rsid w:val="00CD197E"/>
    <w:rsid w:val="00CD71A6"/>
    <w:rsid w:val="00CF1687"/>
    <w:rsid w:val="00D00CD1"/>
    <w:rsid w:val="00D51C2B"/>
    <w:rsid w:val="00D569B7"/>
    <w:rsid w:val="00D7190F"/>
    <w:rsid w:val="00DA3489"/>
    <w:rsid w:val="00DC7632"/>
    <w:rsid w:val="00DE7361"/>
    <w:rsid w:val="00E96562"/>
    <w:rsid w:val="00EC5C8B"/>
    <w:rsid w:val="00ED57C2"/>
    <w:rsid w:val="00EE6318"/>
    <w:rsid w:val="00F31AA7"/>
    <w:rsid w:val="00F32E4C"/>
    <w:rsid w:val="00F47057"/>
    <w:rsid w:val="00F51674"/>
    <w:rsid w:val="00FC6210"/>
    <w:rsid w:val="00FD343D"/>
    <w:rsid w:val="00FE4466"/>
    <w:rsid w:val="00FE5B04"/>
    <w:rsid w:val="00FF6D95"/>
    <w:rsid w:val="36860439"/>
    <w:rsid w:val="FB3E2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600" w:lineRule="exact"/>
      <w:ind w:left="480" w:firstLine="480" w:firstLineChars="200"/>
    </w:pPr>
    <w:rPr>
      <w:rFonts w:ascii="仿宋_GB2312" w:hAnsi="Times New Roman" w:eastAsia="仿宋_GB2312" w:cs="Times New Roman"/>
      <w:sz w:val="24"/>
      <w:szCs w:val="24"/>
      <w:u w:val="single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仿宋_GB2312" w:hAnsi="Times New Roman" w:eastAsia="仿宋_GB2312" w:cs="Times New Roman"/>
      <w:sz w:val="24"/>
      <w:szCs w:val="24"/>
      <w:u w:val="single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344</Words>
  <Characters>1965</Characters>
  <Lines>16</Lines>
  <Paragraphs>4</Paragraphs>
  <TotalTime>13</TotalTime>
  <ScaleCrop>false</ScaleCrop>
  <LinksUpToDate>false</LinksUpToDate>
  <CharactersWithSpaces>2305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2021-06-20T21:37:00Z</dcterms:created>
  <dc:creator>Think</dc:creator>
  <cp:lastModifiedBy>2016</cp:lastModifiedBy>
  <cp:lastPrinted>2021-07-19T02:13:00Z</cp:lastPrinted>
  <dcterms:modified xsi:type="dcterms:W3CDTF">2021-07-21T08:40:24Z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F000E2B6A28F48EC99EC01AAD71401D1</vt:lpwstr>
  </property>
</Properties>
</file>